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5C8" w:rsidRPr="00F606D7" w:rsidRDefault="00A4151A" w:rsidP="00F606D7">
      <w:pPr>
        <w:spacing w:line="240" w:lineRule="auto"/>
        <w:contextualSpacing/>
        <w:rPr>
          <w:rFonts w:asciiTheme="majorHAnsi" w:hAnsiTheme="majorHAnsi" w:cstheme="majorHAnsi"/>
        </w:rPr>
      </w:pPr>
      <w:r w:rsidRPr="00F606D7">
        <w:rPr>
          <w:rFonts w:asciiTheme="majorHAnsi" w:hAnsiTheme="majorHAnsi" w:cstheme="majorHAnsi"/>
          <w:noProof/>
        </w:rPr>
        <w:drawing>
          <wp:inline distT="0" distB="0" distL="0" distR="0" wp14:anchorId="7AF1C9CC" wp14:editId="3D49C75D">
            <wp:extent cx="7584552" cy="403039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657028" cy="4068906"/>
                    </a:xfrm>
                    <a:prstGeom prst="rect">
                      <a:avLst/>
                    </a:prstGeom>
                  </pic:spPr>
                </pic:pic>
              </a:graphicData>
            </a:graphic>
          </wp:inline>
        </w:drawing>
      </w:r>
    </w:p>
    <w:p w:rsidR="00A4151A" w:rsidRPr="00F606D7" w:rsidRDefault="00A4151A" w:rsidP="009727BE">
      <w:pPr>
        <w:spacing w:after="120" w:line="240" w:lineRule="auto"/>
        <w:contextualSpacing/>
        <w:rPr>
          <w:rFonts w:asciiTheme="majorHAnsi" w:hAnsiTheme="majorHAnsi" w:cstheme="majorHAnsi"/>
        </w:rPr>
      </w:pPr>
    </w:p>
    <w:p w:rsidR="00A4151A" w:rsidRPr="00F606D7" w:rsidRDefault="009727BE" w:rsidP="009727BE">
      <w:pPr>
        <w:spacing w:after="120" w:line="240" w:lineRule="auto"/>
        <w:contextualSpacing/>
        <w:rPr>
          <w:rFonts w:asciiTheme="majorHAnsi" w:hAnsiTheme="majorHAnsi" w:cstheme="majorHAnsi"/>
          <w:color w:val="231B18"/>
          <w:shd w:val="clear" w:color="auto" w:fill="FFFFFF"/>
        </w:rPr>
      </w:pPr>
      <w:r>
        <w:rPr>
          <w:rFonts w:asciiTheme="majorHAnsi" w:hAnsiTheme="majorHAnsi" w:cstheme="majorHAnsi"/>
          <w:color w:val="231B18"/>
          <w:shd w:val="clear" w:color="auto" w:fill="FFFFFF"/>
        </w:rPr>
        <w:t>Once a</w:t>
      </w:r>
      <w:r w:rsidR="00F606D7" w:rsidRPr="00F606D7">
        <w:rPr>
          <w:rFonts w:asciiTheme="majorHAnsi" w:hAnsiTheme="majorHAnsi" w:cstheme="majorHAnsi"/>
          <w:color w:val="231B18"/>
          <w:shd w:val="clear" w:color="auto" w:fill="FFFFFF"/>
        </w:rPr>
        <w:t xml:space="preserve"> student selects the free non-CE Code of Ethics training course they must: </w:t>
      </w:r>
    </w:p>
    <w:p w:rsidR="00F606D7" w:rsidRPr="00F606D7" w:rsidRDefault="00F606D7" w:rsidP="009727BE">
      <w:pPr>
        <w:spacing w:after="120" w:line="240" w:lineRule="auto"/>
        <w:contextualSpacing/>
        <w:rPr>
          <w:rFonts w:asciiTheme="majorHAnsi" w:hAnsiTheme="majorHAnsi" w:cstheme="majorHAnsi"/>
          <w:color w:val="231B18"/>
          <w:shd w:val="clear" w:color="auto" w:fill="FFFFFF"/>
        </w:rPr>
      </w:pPr>
    </w:p>
    <w:p w:rsidR="0039260F" w:rsidRPr="009727BE" w:rsidRDefault="00F606D7" w:rsidP="009727BE">
      <w:pPr>
        <w:spacing w:after="120" w:line="240" w:lineRule="auto"/>
        <w:contextualSpacing/>
        <w:rPr>
          <w:rFonts w:asciiTheme="majorHAnsi" w:hAnsiTheme="majorHAnsi" w:cstheme="majorHAnsi"/>
        </w:rPr>
      </w:pPr>
      <w:r w:rsidRPr="00F606D7">
        <w:rPr>
          <w:rFonts w:asciiTheme="majorHAnsi" w:hAnsiTheme="majorHAnsi" w:cstheme="majorHAnsi"/>
          <w:b/>
        </w:rPr>
        <w:t>S</w:t>
      </w:r>
      <w:r w:rsidR="0039260F" w:rsidRPr="00F606D7">
        <w:rPr>
          <w:rFonts w:asciiTheme="majorHAnsi" w:hAnsiTheme="majorHAnsi" w:cstheme="majorHAnsi"/>
          <w:b/>
        </w:rPr>
        <w:t>elect one (1)</w:t>
      </w:r>
      <w:r w:rsidRPr="00F606D7">
        <w:rPr>
          <w:rFonts w:asciiTheme="majorHAnsi" w:hAnsiTheme="majorHAnsi" w:cstheme="majorHAnsi"/>
          <w:b/>
        </w:rPr>
        <w:t xml:space="preserve"> I</w:t>
      </w:r>
      <w:r w:rsidR="0039260F" w:rsidRPr="00F606D7">
        <w:rPr>
          <w:rFonts w:asciiTheme="majorHAnsi" w:hAnsiTheme="majorHAnsi" w:cstheme="majorHAnsi"/>
          <w:b/>
        </w:rPr>
        <w:t xml:space="preserve">ntroduction. </w:t>
      </w:r>
      <w:r w:rsidR="009727BE">
        <w:rPr>
          <w:rFonts w:asciiTheme="majorHAnsi" w:hAnsiTheme="majorHAnsi" w:cstheme="majorHAnsi"/>
        </w:rPr>
        <w:t xml:space="preserve">A brief description of the introduction options follow: </w:t>
      </w:r>
    </w:p>
    <w:p w:rsidR="009727BE" w:rsidRPr="009727BE" w:rsidRDefault="00F606D7" w:rsidP="009727BE">
      <w:pPr>
        <w:spacing w:after="120" w:line="240" w:lineRule="auto"/>
        <w:ind w:left="720"/>
        <w:contextualSpacing/>
        <w:rPr>
          <w:rFonts w:asciiTheme="majorHAnsi" w:eastAsia="Times New Roman" w:hAnsiTheme="majorHAnsi" w:cstheme="majorHAnsi"/>
          <w:i/>
          <w:sz w:val="14"/>
        </w:rPr>
      </w:pPr>
      <w:r w:rsidRPr="00A90626">
        <w:rPr>
          <w:rFonts w:asciiTheme="majorHAnsi" w:eastAsia="Times New Roman" w:hAnsiTheme="majorHAnsi" w:cstheme="majorHAnsi"/>
          <w:i/>
          <w:u w:val="single"/>
        </w:rPr>
        <w:t>Apprais</w:t>
      </w:r>
      <w:r w:rsidRPr="00F606D7">
        <w:rPr>
          <w:rFonts w:asciiTheme="majorHAnsi" w:eastAsia="Times New Roman" w:hAnsiTheme="majorHAnsi" w:cstheme="majorHAnsi"/>
          <w:i/>
          <w:u w:val="single"/>
        </w:rPr>
        <w:t>al</w:t>
      </w:r>
      <w:r w:rsidRPr="00A90626">
        <w:rPr>
          <w:rFonts w:asciiTheme="majorHAnsi" w:eastAsia="Times New Roman" w:hAnsiTheme="majorHAnsi" w:cstheme="majorHAnsi"/>
          <w:i/>
          <w:u w:val="single"/>
        </w:rPr>
        <w:t xml:space="preserve"> Introduction</w:t>
      </w:r>
      <w:r w:rsidRPr="00A90626">
        <w:rPr>
          <w:rFonts w:asciiTheme="majorHAnsi" w:eastAsia="Times New Roman" w:hAnsiTheme="majorHAnsi" w:cstheme="majorHAnsi"/>
          <w:i/>
        </w:rPr>
        <w:br/>
        <w:t xml:space="preserve">In this module, REALTORS® who specialize in appraisal will learn how the REALTOR® Code of Ethics applies to them. Students will examine specifically developed appraisal content about: the aspirational concepts in the Preamble of the Code of Ethics, the concept of general business ethics and how it compares and contrasts with the duties established in the REALTOR® Code of Ethics and how </w:t>
      </w:r>
      <w:proofErr w:type="gramStart"/>
      <w:r w:rsidRPr="00A90626">
        <w:rPr>
          <w:rFonts w:asciiTheme="majorHAnsi" w:eastAsia="Times New Roman" w:hAnsiTheme="majorHAnsi" w:cstheme="majorHAnsi"/>
          <w:i/>
        </w:rPr>
        <w:t>professional standards are enforced by the local associations of REALTORS®</w:t>
      </w:r>
      <w:proofErr w:type="gramEnd"/>
      <w:r w:rsidRPr="00A90626">
        <w:rPr>
          <w:rFonts w:asciiTheme="majorHAnsi" w:eastAsia="Times New Roman" w:hAnsiTheme="majorHAnsi" w:cstheme="majorHAnsi"/>
          <w:i/>
        </w:rPr>
        <w:t xml:space="preserve">. </w:t>
      </w:r>
      <w:r w:rsidRPr="00A90626">
        <w:rPr>
          <w:rFonts w:asciiTheme="majorHAnsi" w:eastAsia="Times New Roman" w:hAnsiTheme="majorHAnsi" w:cstheme="majorHAnsi"/>
          <w:i/>
          <w:sz w:val="16"/>
        </w:rPr>
        <w:br/>
      </w:r>
      <w:r w:rsidRPr="00A90626">
        <w:rPr>
          <w:rFonts w:asciiTheme="majorHAnsi" w:eastAsia="Times New Roman" w:hAnsiTheme="majorHAnsi" w:cstheme="majorHAnsi"/>
          <w:i/>
          <w:sz w:val="16"/>
        </w:rPr>
        <w:br/>
      </w:r>
      <w:r w:rsidRPr="00A90626">
        <w:rPr>
          <w:rFonts w:asciiTheme="majorHAnsi" w:eastAsia="Times New Roman" w:hAnsiTheme="majorHAnsi" w:cstheme="majorHAnsi"/>
          <w:i/>
          <w:u w:val="single"/>
        </w:rPr>
        <w:t>Residential Introduction</w:t>
      </w:r>
      <w:r w:rsidRPr="00A90626">
        <w:rPr>
          <w:rFonts w:asciiTheme="majorHAnsi" w:eastAsia="Times New Roman" w:hAnsiTheme="majorHAnsi" w:cstheme="majorHAnsi"/>
          <w:i/>
        </w:rPr>
        <w:br/>
        <w:t xml:space="preserve">In this module, REALTORS® who specialize in residential real estate will learn how the REALTOR® Code of Ethics applies to them. Students will examine: the aspirational concepts in the Preamble of the Code of Ethics, the concept of general business ethics and how it compares and contrasts with the duties established in the REALTOR® Code of Ethics and how </w:t>
      </w:r>
      <w:proofErr w:type="gramStart"/>
      <w:r w:rsidRPr="00A90626">
        <w:rPr>
          <w:rFonts w:asciiTheme="majorHAnsi" w:eastAsia="Times New Roman" w:hAnsiTheme="majorHAnsi" w:cstheme="majorHAnsi"/>
          <w:i/>
        </w:rPr>
        <w:t>professional standards are enforced by lo</w:t>
      </w:r>
      <w:r w:rsidR="009727BE">
        <w:rPr>
          <w:rFonts w:asciiTheme="majorHAnsi" w:eastAsia="Times New Roman" w:hAnsiTheme="majorHAnsi" w:cstheme="majorHAnsi"/>
          <w:i/>
        </w:rPr>
        <w:t>cal associations of REALTORS®</w:t>
      </w:r>
      <w:proofErr w:type="gramEnd"/>
      <w:r w:rsidR="009727BE">
        <w:rPr>
          <w:rFonts w:asciiTheme="majorHAnsi" w:eastAsia="Times New Roman" w:hAnsiTheme="majorHAnsi" w:cstheme="majorHAnsi"/>
          <w:i/>
        </w:rPr>
        <w:t xml:space="preserve">. </w:t>
      </w:r>
    </w:p>
    <w:p w:rsidR="00F606D7" w:rsidRPr="00A90626" w:rsidRDefault="00F606D7" w:rsidP="009727BE">
      <w:pPr>
        <w:spacing w:after="120" w:line="240" w:lineRule="auto"/>
        <w:ind w:left="720"/>
        <w:contextualSpacing/>
        <w:rPr>
          <w:rFonts w:asciiTheme="majorHAnsi" w:eastAsia="Times New Roman" w:hAnsiTheme="majorHAnsi" w:cstheme="majorHAnsi"/>
          <w:i/>
          <w:sz w:val="16"/>
        </w:rPr>
      </w:pPr>
      <w:r w:rsidRPr="00A90626">
        <w:rPr>
          <w:rFonts w:asciiTheme="majorHAnsi" w:eastAsia="Times New Roman" w:hAnsiTheme="majorHAnsi" w:cstheme="majorHAnsi"/>
          <w:i/>
          <w:sz w:val="14"/>
        </w:rPr>
        <w:br/>
      </w:r>
      <w:r w:rsidRPr="00F606D7">
        <w:rPr>
          <w:rFonts w:asciiTheme="majorHAnsi" w:eastAsia="Times New Roman" w:hAnsiTheme="majorHAnsi" w:cstheme="majorHAnsi"/>
          <w:i/>
          <w:u w:val="single"/>
        </w:rPr>
        <w:t>Commercial</w:t>
      </w:r>
      <w:r w:rsidRPr="00A90626">
        <w:rPr>
          <w:rFonts w:asciiTheme="majorHAnsi" w:eastAsia="Times New Roman" w:hAnsiTheme="majorHAnsi" w:cstheme="majorHAnsi"/>
          <w:i/>
          <w:u w:val="single"/>
        </w:rPr>
        <w:t xml:space="preserve"> Introduction</w:t>
      </w:r>
      <w:r w:rsidRPr="00A90626">
        <w:rPr>
          <w:rFonts w:asciiTheme="majorHAnsi" w:eastAsia="Times New Roman" w:hAnsiTheme="majorHAnsi" w:cstheme="majorHAnsi"/>
          <w:i/>
        </w:rPr>
        <w:br/>
        <w:t xml:space="preserve">In this module, REALTORS® who specialize in commercial real estate will learn how the REALTOR® Code of Ethics applies to them. Students will examine specifically developed commercial content about: the aspirational concepts in the Preamble of the Code of Ethics, the concept of general business ethics and how it compares and contrasts with the duties in the REALTORS® Code of Ethics and how professional standards are enforced by associations of REALTORS®. </w:t>
      </w:r>
    </w:p>
    <w:p w:rsidR="00F606D7" w:rsidRPr="009727BE" w:rsidRDefault="00F606D7" w:rsidP="009727BE">
      <w:pPr>
        <w:spacing w:after="120" w:line="240" w:lineRule="auto"/>
        <w:contextualSpacing/>
        <w:rPr>
          <w:rFonts w:asciiTheme="majorHAnsi" w:hAnsiTheme="majorHAnsi" w:cstheme="majorHAnsi"/>
          <w:sz w:val="8"/>
        </w:rPr>
      </w:pPr>
    </w:p>
    <w:p w:rsidR="0039260F" w:rsidRPr="00F606D7" w:rsidRDefault="00F606D7" w:rsidP="009727BE">
      <w:pPr>
        <w:spacing w:after="120" w:line="240" w:lineRule="auto"/>
        <w:contextualSpacing/>
        <w:rPr>
          <w:rFonts w:asciiTheme="majorHAnsi" w:hAnsiTheme="majorHAnsi" w:cstheme="majorHAnsi"/>
          <w:b/>
        </w:rPr>
      </w:pPr>
      <w:r w:rsidRPr="00F606D7">
        <w:rPr>
          <w:rFonts w:asciiTheme="majorHAnsi" w:hAnsiTheme="majorHAnsi" w:cstheme="majorHAnsi"/>
          <w:b/>
        </w:rPr>
        <w:t>S</w:t>
      </w:r>
      <w:r w:rsidR="0039260F" w:rsidRPr="00F606D7">
        <w:rPr>
          <w:rFonts w:asciiTheme="majorHAnsi" w:hAnsiTheme="majorHAnsi" w:cstheme="majorHAnsi"/>
          <w:b/>
        </w:rPr>
        <w:t xml:space="preserve">elect two (2) </w:t>
      </w:r>
      <w:r w:rsidRPr="00F606D7">
        <w:rPr>
          <w:rFonts w:asciiTheme="majorHAnsi" w:hAnsiTheme="majorHAnsi" w:cstheme="majorHAnsi"/>
          <w:b/>
        </w:rPr>
        <w:t>C</w:t>
      </w:r>
      <w:r w:rsidR="0039260F" w:rsidRPr="00F606D7">
        <w:rPr>
          <w:rFonts w:asciiTheme="majorHAnsi" w:hAnsiTheme="majorHAnsi" w:cstheme="majorHAnsi"/>
          <w:b/>
        </w:rPr>
        <w:t xml:space="preserve">ase </w:t>
      </w:r>
      <w:r w:rsidRPr="00F606D7">
        <w:rPr>
          <w:rFonts w:asciiTheme="majorHAnsi" w:hAnsiTheme="majorHAnsi" w:cstheme="majorHAnsi"/>
          <w:b/>
        </w:rPr>
        <w:t>S</w:t>
      </w:r>
      <w:r w:rsidR="0039260F" w:rsidRPr="00F606D7">
        <w:rPr>
          <w:rFonts w:asciiTheme="majorHAnsi" w:hAnsiTheme="majorHAnsi" w:cstheme="majorHAnsi"/>
          <w:b/>
        </w:rPr>
        <w:t xml:space="preserve">tudies. </w:t>
      </w:r>
      <w:r w:rsidR="009727BE">
        <w:rPr>
          <w:rFonts w:asciiTheme="majorHAnsi" w:hAnsiTheme="majorHAnsi" w:cstheme="majorHAnsi"/>
        </w:rPr>
        <w:t>A brief description of the</w:t>
      </w:r>
      <w:r w:rsidR="009727BE">
        <w:rPr>
          <w:rFonts w:asciiTheme="majorHAnsi" w:hAnsiTheme="majorHAnsi" w:cstheme="majorHAnsi"/>
        </w:rPr>
        <w:t xml:space="preserve"> case study</w:t>
      </w:r>
      <w:r w:rsidR="009727BE">
        <w:rPr>
          <w:rFonts w:asciiTheme="majorHAnsi" w:hAnsiTheme="majorHAnsi" w:cstheme="majorHAnsi"/>
        </w:rPr>
        <w:t xml:space="preserve"> options </w:t>
      </w:r>
      <w:r w:rsidR="009727BE">
        <w:rPr>
          <w:rFonts w:asciiTheme="majorHAnsi" w:hAnsiTheme="majorHAnsi" w:cstheme="majorHAnsi"/>
        </w:rPr>
        <w:t>follow</w:t>
      </w:r>
      <w:r w:rsidR="009727BE">
        <w:rPr>
          <w:rFonts w:asciiTheme="majorHAnsi" w:hAnsiTheme="majorHAnsi" w:cstheme="majorHAnsi"/>
        </w:rPr>
        <w:t>:</w:t>
      </w:r>
    </w:p>
    <w:p w:rsidR="00F606D7" w:rsidRPr="00A90626" w:rsidRDefault="00F606D7" w:rsidP="009727BE">
      <w:pPr>
        <w:spacing w:after="120" w:line="240" w:lineRule="auto"/>
        <w:ind w:left="720"/>
        <w:contextualSpacing/>
        <w:rPr>
          <w:rFonts w:asciiTheme="majorHAnsi" w:eastAsia="Times New Roman" w:hAnsiTheme="majorHAnsi" w:cstheme="majorHAnsi"/>
          <w:i/>
          <w:sz w:val="16"/>
        </w:rPr>
      </w:pPr>
      <w:r w:rsidRPr="00A90626">
        <w:rPr>
          <w:rFonts w:asciiTheme="majorHAnsi" w:eastAsia="Times New Roman" w:hAnsiTheme="majorHAnsi" w:cstheme="majorHAnsi"/>
          <w:i/>
          <w:u w:val="single"/>
        </w:rPr>
        <w:t>Article 1 - Residential</w:t>
      </w:r>
      <w:r w:rsidRPr="00A90626">
        <w:rPr>
          <w:rFonts w:asciiTheme="majorHAnsi" w:eastAsia="Times New Roman" w:hAnsiTheme="majorHAnsi" w:cstheme="majorHAnsi"/>
          <w:i/>
        </w:rPr>
        <w:br/>
      </w:r>
      <w:proofErr w:type="gramStart"/>
      <w:r w:rsidRPr="00A90626">
        <w:rPr>
          <w:rFonts w:asciiTheme="majorHAnsi" w:eastAsia="Times New Roman" w:hAnsiTheme="majorHAnsi" w:cstheme="majorHAnsi"/>
          <w:i/>
        </w:rPr>
        <w:t>This</w:t>
      </w:r>
      <w:proofErr w:type="gramEnd"/>
      <w:r w:rsidRPr="00A90626">
        <w:rPr>
          <w:rFonts w:asciiTheme="majorHAnsi" w:eastAsia="Times New Roman" w:hAnsiTheme="majorHAnsi" w:cstheme="majorHAnsi"/>
          <w:i/>
        </w:rPr>
        <w:t xml:space="preserve"> module explains the important concepts of Article 1 of the Code of Ethics. Students will review case studies and scenarios, examine Article 1’s Standards of Practice and learn to identify possible violations of the Article. </w:t>
      </w:r>
      <w:r w:rsidRPr="00A90626">
        <w:rPr>
          <w:rFonts w:asciiTheme="majorHAnsi" w:eastAsia="Times New Roman" w:hAnsiTheme="majorHAnsi" w:cstheme="majorHAnsi"/>
          <w:i/>
          <w:sz w:val="16"/>
        </w:rPr>
        <w:br/>
      </w:r>
      <w:r w:rsidRPr="00A90626">
        <w:rPr>
          <w:rFonts w:asciiTheme="majorHAnsi" w:eastAsia="Times New Roman" w:hAnsiTheme="majorHAnsi" w:cstheme="majorHAnsi"/>
          <w:i/>
          <w:sz w:val="16"/>
        </w:rPr>
        <w:br/>
      </w:r>
      <w:r w:rsidRPr="00A90626">
        <w:rPr>
          <w:rFonts w:asciiTheme="majorHAnsi" w:eastAsia="Times New Roman" w:hAnsiTheme="majorHAnsi" w:cstheme="majorHAnsi"/>
          <w:i/>
          <w:u w:val="single"/>
        </w:rPr>
        <w:lastRenderedPageBreak/>
        <w:t>Article 3 - Residential</w:t>
      </w:r>
      <w:r w:rsidRPr="00A90626">
        <w:rPr>
          <w:rFonts w:asciiTheme="majorHAnsi" w:eastAsia="Times New Roman" w:hAnsiTheme="majorHAnsi" w:cstheme="majorHAnsi"/>
          <w:i/>
        </w:rPr>
        <w:br/>
      </w:r>
      <w:proofErr w:type="gramStart"/>
      <w:r w:rsidRPr="00A90626">
        <w:rPr>
          <w:rFonts w:asciiTheme="majorHAnsi" w:eastAsia="Times New Roman" w:hAnsiTheme="majorHAnsi" w:cstheme="majorHAnsi"/>
          <w:i/>
        </w:rPr>
        <w:t>This</w:t>
      </w:r>
      <w:proofErr w:type="gramEnd"/>
      <w:r w:rsidRPr="00A90626">
        <w:rPr>
          <w:rFonts w:asciiTheme="majorHAnsi" w:eastAsia="Times New Roman" w:hAnsiTheme="majorHAnsi" w:cstheme="majorHAnsi"/>
          <w:i/>
        </w:rPr>
        <w:t xml:space="preserve"> module explains the important concepts of Article 3 of the Code of Ethics. Students will review case studies and scenarios, examine Article 3’s Standards of Practice and learn to identify possible violations of the Article. </w:t>
      </w:r>
      <w:r w:rsidRPr="00A90626">
        <w:rPr>
          <w:rFonts w:asciiTheme="majorHAnsi" w:eastAsia="Times New Roman" w:hAnsiTheme="majorHAnsi" w:cstheme="majorHAnsi"/>
          <w:i/>
          <w:sz w:val="16"/>
        </w:rPr>
        <w:br/>
      </w:r>
      <w:r w:rsidRPr="00A90626">
        <w:rPr>
          <w:rFonts w:asciiTheme="majorHAnsi" w:eastAsia="Times New Roman" w:hAnsiTheme="majorHAnsi" w:cstheme="majorHAnsi"/>
          <w:i/>
          <w:sz w:val="16"/>
        </w:rPr>
        <w:br/>
      </w:r>
      <w:r w:rsidRPr="00A90626">
        <w:rPr>
          <w:rFonts w:asciiTheme="majorHAnsi" w:eastAsia="Times New Roman" w:hAnsiTheme="majorHAnsi" w:cstheme="majorHAnsi"/>
          <w:i/>
          <w:u w:val="single"/>
        </w:rPr>
        <w:t>Article 12 – Residential</w:t>
      </w:r>
      <w:r w:rsidRPr="00A90626">
        <w:rPr>
          <w:rFonts w:asciiTheme="majorHAnsi" w:eastAsia="Times New Roman" w:hAnsiTheme="majorHAnsi" w:cstheme="majorHAnsi"/>
          <w:i/>
        </w:rPr>
        <w:br/>
        <w:t xml:space="preserve">This module explains the important concepts of Article 12 of the Code of Ethics. Students will review case studies and scenarios, examine Article 12’s Standards of Practice and learn to identify possible violations of the Article. </w:t>
      </w:r>
      <w:r w:rsidRPr="00A90626">
        <w:rPr>
          <w:rFonts w:asciiTheme="majorHAnsi" w:eastAsia="Times New Roman" w:hAnsiTheme="majorHAnsi" w:cstheme="majorHAnsi"/>
          <w:i/>
          <w:sz w:val="16"/>
        </w:rPr>
        <w:br/>
      </w:r>
      <w:r w:rsidRPr="00A90626">
        <w:rPr>
          <w:rFonts w:asciiTheme="majorHAnsi" w:eastAsia="Times New Roman" w:hAnsiTheme="majorHAnsi" w:cstheme="majorHAnsi"/>
          <w:i/>
          <w:sz w:val="16"/>
        </w:rPr>
        <w:br/>
      </w:r>
      <w:r w:rsidRPr="00A90626">
        <w:rPr>
          <w:rFonts w:asciiTheme="majorHAnsi" w:eastAsia="Times New Roman" w:hAnsiTheme="majorHAnsi" w:cstheme="majorHAnsi"/>
          <w:i/>
          <w:u w:val="single"/>
        </w:rPr>
        <w:t>Article 16 - Residential</w:t>
      </w:r>
      <w:r w:rsidRPr="00A90626">
        <w:rPr>
          <w:rFonts w:asciiTheme="majorHAnsi" w:eastAsia="Times New Roman" w:hAnsiTheme="majorHAnsi" w:cstheme="majorHAnsi"/>
          <w:i/>
        </w:rPr>
        <w:br/>
      </w:r>
      <w:proofErr w:type="gramStart"/>
      <w:r w:rsidRPr="00A90626">
        <w:rPr>
          <w:rFonts w:asciiTheme="majorHAnsi" w:eastAsia="Times New Roman" w:hAnsiTheme="majorHAnsi" w:cstheme="majorHAnsi"/>
          <w:i/>
        </w:rPr>
        <w:t>This</w:t>
      </w:r>
      <w:proofErr w:type="gramEnd"/>
      <w:r w:rsidRPr="00A90626">
        <w:rPr>
          <w:rFonts w:asciiTheme="majorHAnsi" w:eastAsia="Times New Roman" w:hAnsiTheme="majorHAnsi" w:cstheme="majorHAnsi"/>
          <w:i/>
        </w:rPr>
        <w:t xml:space="preserve"> module explains the important concepts of Article 16 of the Code of Ethics. Students will review case studies and scenarios, examine Article 16’s Standards of Practice and learn to identify possible violations of the Article. </w:t>
      </w:r>
      <w:r w:rsidRPr="00A90626">
        <w:rPr>
          <w:rFonts w:asciiTheme="majorHAnsi" w:eastAsia="Times New Roman" w:hAnsiTheme="majorHAnsi" w:cstheme="majorHAnsi"/>
          <w:i/>
          <w:sz w:val="16"/>
        </w:rPr>
        <w:br/>
      </w:r>
      <w:r w:rsidRPr="00A90626">
        <w:rPr>
          <w:rFonts w:asciiTheme="majorHAnsi" w:eastAsia="Times New Roman" w:hAnsiTheme="majorHAnsi" w:cstheme="majorHAnsi"/>
          <w:i/>
          <w:sz w:val="16"/>
        </w:rPr>
        <w:br/>
      </w:r>
      <w:r w:rsidRPr="00A90626">
        <w:rPr>
          <w:rFonts w:asciiTheme="majorHAnsi" w:eastAsia="Times New Roman" w:hAnsiTheme="majorHAnsi" w:cstheme="majorHAnsi"/>
          <w:i/>
          <w:u w:val="single"/>
        </w:rPr>
        <w:t>Article 1 - Commercial</w:t>
      </w:r>
      <w:r w:rsidRPr="00A90626">
        <w:rPr>
          <w:rFonts w:asciiTheme="majorHAnsi" w:eastAsia="Times New Roman" w:hAnsiTheme="majorHAnsi" w:cstheme="majorHAnsi"/>
          <w:i/>
        </w:rPr>
        <w:br/>
      </w:r>
      <w:proofErr w:type="gramStart"/>
      <w:r w:rsidRPr="00A90626">
        <w:rPr>
          <w:rFonts w:asciiTheme="majorHAnsi" w:eastAsia="Times New Roman" w:hAnsiTheme="majorHAnsi" w:cstheme="majorHAnsi"/>
          <w:i/>
        </w:rPr>
        <w:t>This</w:t>
      </w:r>
      <w:proofErr w:type="gramEnd"/>
      <w:r w:rsidRPr="00A90626">
        <w:rPr>
          <w:rFonts w:asciiTheme="majorHAnsi" w:eastAsia="Times New Roman" w:hAnsiTheme="majorHAnsi" w:cstheme="majorHAnsi"/>
          <w:i/>
        </w:rPr>
        <w:t xml:space="preserve"> module explains the important concepts of Article 1 of the Code of Ethics in commercial real estate. Students will review case studies and scenarios, examine Article 1’s Standards of Practice and learn to identify possible violations of the Article. </w:t>
      </w:r>
      <w:r w:rsidRPr="00A90626">
        <w:rPr>
          <w:rFonts w:asciiTheme="majorHAnsi" w:eastAsia="Times New Roman" w:hAnsiTheme="majorHAnsi" w:cstheme="majorHAnsi"/>
          <w:i/>
          <w:sz w:val="16"/>
        </w:rPr>
        <w:br/>
      </w:r>
      <w:r w:rsidRPr="00A90626">
        <w:rPr>
          <w:rFonts w:asciiTheme="majorHAnsi" w:eastAsia="Times New Roman" w:hAnsiTheme="majorHAnsi" w:cstheme="majorHAnsi"/>
          <w:i/>
          <w:sz w:val="16"/>
        </w:rPr>
        <w:br/>
      </w:r>
      <w:r w:rsidRPr="00A90626">
        <w:rPr>
          <w:rFonts w:asciiTheme="majorHAnsi" w:eastAsia="Times New Roman" w:hAnsiTheme="majorHAnsi" w:cstheme="majorHAnsi"/>
          <w:i/>
          <w:u w:val="single"/>
        </w:rPr>
        <w:t>Article 12 – Commercial</w:t>
      </w:r>
      <w:r w:rsidRPr="00A90626">
        <w:rPr>
          <w:rFonts w:asciiTheme="majorHAnsi" w:eastAsia="Times New Roman" w:hAnsiTheme="majorHAnsi" w:cstheme="majorHAnsi"/>
          <w:i/>
        </w:rPr>
        <w:br/>
      </w:r>
      <w:proofErr w:type="gramStart"/>
      <w:r w:rsidRPr="00A90626">
        <w:rPr>
          <w:rFonts w:asciiTheme="majorHAnsi" w:eastAsia="Times New Roman" w:hAnsiTheme="majorHAnsi" w:cstheme="majorHAnsi"/>
          <w:i/>
        </w:rPr>
        <w:t>This</w:t>
      </w:r>
      <w:proofErr w:type="gramEnd"/>
      <w:r w:rsidRPr="00A90626">
        <w:rPr>
          <w:rFonts w:asciiTheme="majorHAnsi" w:eastAsia="Times New Roman" w:hAnsiTheme="majorHAnsi" w:cstheme="majorHAnsi"/>
          <w:i/>
        </w:rPr>
        <w:t xml:space="preserve"> module explains the important concepts of Article 12 of the Code of Ethics in commercial real estate. Students will review case studies and scenarios, examine Article 12’s Standards of Practice and learn to identify possible violations of the Article. </w:t>
      </w:r>
      <w:r w:rsidRPr="00A90626">
        <w:rPr>
          <w:rFonts w:asciiTheme="majorHAnsi" w:eastAsia="Times New Roman" w:hAnsiTheme="majorHAnsi" w:cstheme="majorHAnsi"/>
          <w:i/>
          <w:sz w:val="16"/>
        </w:rPr>
        <w:br/>
      </w:r>
      <w:r w:rsidRPr="00A90626">
        <w:rPr>
          <w:rFonts w:asciiTheme="majorHAnsi" w:eastAsia="Times New Roman" w:hAnsiTheme="majorHAnsi" w:cstheme="majorHAnsi"/>
          <w:i/>
          <w:sz w:val="16"/>
        </w:rPr>
        <w:br/>
      </w:r>
      <w:r w:rsidRPr="00A90626">
        <w:rPr>
          <w:rFonts w:asciiTheme="majorHAnsi" w:eastAsia="Times New Roman" w:hAnsiTheme="majorHAnsi" w:cstheme="majorHAnsi"/>
          <w:i/>
          <w:u w:val="single"/>
        </w:rPr>
        <w:t>Article 1 - Appraisal</w:t>
      </w:r>
      <w:r w:rsidRPr="00A90626">
        <w:rPr>
          <w:rFonts w:asciiTheme="majorHAnsi" w:eastAsia="Times New Roman" w:hAnsiTheme="majorHAnsi" w:cstheme="majorHAnsi"/>
          <w:i/>
        </w:rPr>
        <w:br/>
        <w:t xml:space="preserve">This module explains the important concepts of Article 1 of the Code of Ethics in appraisal. Students will review case studies and scenarios, examine Article 1’s Standards of Practice and learn to identify possible violations of the Article. </w:t>
      </w:r>
      <w:r w:rsidRPr="00A90626">
        <w:rPr>
          <w:rFonts w:asciiTheme="majorHAnsi" w:eastAsia="Times New Roman" w:hAnsiTheme="majorHAnsi" w:cstheme="majorHAnsi"/>
          <w:i/>
          <w:sz w:val="16"/>
        </w:rPr>
        <w:br/>
      </w:r>
      <w:r w:rsidRPr="00A90626">
        <w:rPr>
          <w:rFonts w:asciiTheme="majorHAnsi" w:eastAsia="Times New Roman" w:hAnsiTheme="majorHAnsi" w:cstheme="majorHAnsi"/>
          <w:i/>
          <w:sz w:val="16"/>
        </w:rPr>
        <w:br/>
      </w:r>
      <w:r w:rsidRPr="00A90626">
        <w:rPr>
          <w:rFonts w:asciiTheme="majorHAnsi" w:eastAsia="Times New Roman" w:hAnsiTheme="majorHAnsi" w:cstheme="majorHAnsi"/>
          <w:i/>
          <w:u w:val="single"/>
        </w:rPr>
        <w:t>Article 11 - Appraisal</w:t>
      </w:r>
      <w:r w:rsidRPr="00A90626">
        <w:rPr>
          <w:rFonts w:asciiTheme="majorHAnsi" w:eastAsia="Times New Roman" w:hAnsiTheme="majorHAnsi" w:cstheme="majorHAnsi"/>
          <w:i/>
        </w:rPr>
        <w:br/>
        <w:t xml:space="preserve">This module explores the important concepts of Article 11 of the Code of Ethics in appraisal. Students will review case studies and scenarios, examine Article 11’s Standards of Practice and learn to identify possible violations of the Article. </w:t>
      </w:r>
    </w:p>
    <w:p w:rsidR="0039260F" w:rsidRPr="009727BE" w:rsidRDefault="0039260F" w:rsidP="009727BE">
      <w:pPr>
        <w:spacing w:after="120" w:line="240" w:lineRule="auto"/>
        <w:contextualSpacing/>
        <w:rPr>
          <w:rFonts w:asciiTheme="majorHAnsi" w:hAnsiTheme="majorHAnsi" w:cstheme="majorHAnsi"/>
          <w:sz w:val="16"/>
        </w:rPr>
      </w:pPr>
    </w:p>
    <w:p w:rsidR="0039260F" w:rsidRPr="00F606D7" w:rsidRDefault="0039260F" w:rsidP="009727BE">
      <w:pPr>
        <w:spacing w:after="120" w:line="240" w:lineRule="auto"/>
        <w:contextualSpacing/>
        <w:rPr>
          <w:rFonts w:asciiTheme="majorHAnsi" w:hAnsiTheme="majorHAnsi" w:cstheme="majorHAnsi"/>
          <w:b/>
        </w:rPr>
      </w:pPr>
      <w:r w:rsidRPr="00F606D7">
        <w:rPr>
          <w:rFonts w:asciiTheme="majorHAnsi" w:hAnsiTheme="majorHAnsi" w:cstheme="majorHAnsi"/>
          <w:b/>
        </w:rPr>
        <w:t xml:space="preserve">Select one (1) </w:t>
      </w:r>
      <w:r w:rsidR="00F606D7" w:rsidRPr="00F606D7">
        <w:rPr>
          <w:rFonts w:asciiTheme="majorHAnsi" w:hAnsiTheme="majorHAnsi" w:cstheme="majorHAnsi"/>
          <w:b/>
        </w:rPr>
        <w:t>E</w:t>
      </w:r>
      <w:r w:rsidRPr="00F606D7">
        <w:rPr>
          <w:rFonts w:asciiTheme="majorHAnsi" w:hAnsiTheme="majorHAnsi" w:cstheme="majorHAnsi"/>
          <w:b/>
        </w:rPr>
        <w:t xml:space="preserve">lective. </w:t>
      </w:r>
      <w:r w:rsidR="009727BE">
        <w:rPr>
          <w:rFonts w:asciiTheme="majorHAnsi" w:hAnsiTheme="majorHAnsi" w:cstheme="majorHAnsi"/>
        </w:rPr>
        <w:t xml:space="preserve">A brief description of the </w:t>
      </w:r>
      <w:r w:rsidR="009727BE">
        <w:rPr>
          <w:rFonts w:asciiTheme="majorHAnsi" w:hAnsiTheme="majorHAnsi" w:cstheme="majorHAnsi"/>
        </w:rPr>
        <w:t>elective</w:t>
      </w:r>
      <w:r w:rsidR="009727BE">
        <w:rPr>
          <w:rFonts w:asciiTheme="majorHAnsi" w:hAnsiTheme="majorHAnsi" w:cstheme="majorHAnsi"/>
        </w:rPr>
        <w:t xml:space="preserve"> options </w:t>
      </w:r>
      <w:r w:rsidR="009727BE">
        <w:rPr>
          <w:rFonts w:asciiTheme="majorHAnsi" w:hAnsiTheme="majorHAnsi" w:cstheme="majorHAnsi"/>
        </w:rPr>
        <w:t>follow</w:t>
      </w:r>
      <w:r w:rsidR="009727BE">
        <w:rPr>
          <w:rFonts w:asciiTheme="majorHAnsi" w:hAnsiTheme="majorHAnsi" w:cstheme="majorHAnsi"/>
        </w:rPr>
        <w:t>:</w:t>
      </w:r>
    </w:p>
    <w:p w:rsidR="00F606D7" w:rsidRPr="009727BE" w:rsidRDefault="00F606D7" w:rsidP="009727BE">
      <w:pPr>
        <w:spacing w:after="120" w:line="240" w:lineRule="auto"/>
        <w:ind w:left="720"/>
        <w:contextualSpacing/>
        <w:rPr>
          <w:rFonts w:asciiTheme="majorHAnsi" w:hAnsiTheme="majorHAnsi" w:cstheme="majorHAnsi"/>
          <w:sz w:val="16"/>
        </w:rPr>
      </w:pPr>
      <w:r w:rsidRPr="00A90626">
        <w:rPr>
          <w:rFonts w:asciiTheme="majorHAnsi" w:eastAsia="Times New Roman" w:hAnsiTheme="majorHAnsi" w:cstheme="majorHAnsi"/>
          <w:i/>
          <w:u w:val="single"/>
        </w:rPr>
        <w:t>Procuring Cause</w:t>
      </w:r>
      <w:r w:rsidRPr="00A90626">
        <w:rPr>
          <w:rFonts w:asciiTheme="majorHAnsi" w:eastAsia="Times New Roman" w:hAnsiTheme="majorHAnsi" w:cstheme="majorHAnsi"/>
          <w:i/>
        </w:rPr>
        <w:br/>
        <w:t xml:space="preserve">This module explains the </w:t>
      </w:r>
      <w:proofErr w:type="gramStart"/>
      <w:r w:rsidRPr="00A90626">
        <w:rPr>
          <w:rFonts w:asciiTheme="majorHAnsi" w:eastAsia="Times New Roman" w:hAnsiTheme="majorHAnsi" w:cstheme="majorHAnsi"/>
          <w:i/>
        </w:rPr>
        <w:t>often misunderstood</w:t>
      </w:r>
      <w:proofErr w:type="gramEnd"/>
      <w:r w:rsidRPr="00A90626">
        <w:rPr>
          <w:rFonts w:asciiTheme="majorHAnsi" w:eastAsia="Times New Roman" w:hAnsiTheme="majorHAnsi" w:cstheme="majorHAnsi"/>
          <w:i/>
        </w:rPr>
        <w:t xml:space="preserve"> concept of procuring cause and how it is used in making offers of compensation and in deciding arbitration claims over disputed commissions. </w:t>
      </w:r>
      <w:r w:rsidRPr="00A90626">
        <w:rPr>
          <w:rFonts w:asciiTheme="majorHAnsi" w:eastAsia="Times New Roman" w:hAnsiTheme="majorHAnsi" w:cstheme="majorHAnsi"/>
          <w:i/>
          <w:sz w:val="16"/>
        </w:rPr>
        <w:br/>
      </w:r>
      <w:r w:rsidRPr="00A90626">
        <w:rPr>
          <w:rFonts w:asciiTheme="majorHAnsi" w:eastAsia="Times New Roman" w:hAnsiTheme="majorHAnsi" w:cstheme="majorHAnsi"/>
          <w:i/>
          <w:sz w:val="16"/>
        </w:rPr>
        <w:br/>
      </w:r>
      <w:r w:rsidRPr="00A90626">
        <w:rPr>
          <w:rFonts w:asciiTheme="majorHAnsi" w:eastAsia="Times New Roman" w:hAnsiTheme="majorHAnsi" w:cstheme="majorHAnsi"/>
          <w:i/>
          <w:u w:val="single"/>
        </w:rPr>
        <w:t>Ethics Complaints</w:t>
      </w:r>
      <w:r w:rsidRPr="00A90626">
        <w:rPr>
          <w:rFonts w:asciiTheme="majorHAnsi" w:eastAsia="Times New Roman" w:hAnsiTheme="majorHAnsi" w:cstheme="majorHAnsi"/>
          <w:i/>
        </w:rPr>
        <w:br/>
      </w:r>
      <w:proofErr w:type="gramStart"/>
      <w:r w:rsidRPr="00A90626">
        <w:rPr>
          <w:rFonts w:asciiTheme="majorHAnsi" w:eastAsia="Times New Roman" w:hAnsiTheme="majorHAnsi" w:cstheme="majorHAnsi"/>
          <w:i/>
        </w:rPr>
        <w:t>This</w:t>
      </w:r>
      <w:proofErr w:type="gramEnd"/>
      <w:r w:rsidRPr="00A90626">
        <w:rPr>
          <w:rFonts w:asciiTheme="majorHAnsi" w:eastAsia="Times New Roman" w:hAnsiTheme="majorHAnsi" w:cstheme="majorHAnsi"/>
          <w:i/>
        </w:rPr>
        <w:t xml:space="preserve"> module brings to life the process for filing and participating in a hearing of an ethics complaint. </w:t>
      </w:r>
      <w:r w:rsidRPr="00A90626">
        <w:rPr>
          <w:rFonts w:asciiTheme="majorHAnsi" w:eastAsia="Times New Roman" w:hAnsiTheme="majorHAnsi" w:cstheme="majorHAnsi"/>
          <w:i/>
          <w:sz w:val="16"/>
        </w:rPr>
        <w:br/>
      </w:r>
      <w:r w:rsidRPr="00A90626">
        <w:rPr>
          <w:rFonts w:asciiTheme="majorHAnsi" w:eastAsia="Times New Roman" w:hAnsiTheme="majorHAnsi" w:cstheme="majorHAnsi"/>
          <w:i/>
          <w:sz w:val="16"/>
        </w:rPr>
        <w:br/>
      </w:r>
      <w:r w:rsidRPr="00A90626">
        <w:rPr>
          <w:rFonts w:asciiTheme="majorHAnsi" w:eastAsia="Times New Roman" w:hAnsiTheme="majorHAnsi" w:cstheme="majorHAnsi"/>
          <w:i/>
          <w:u w:val="single"/>
        </w:rPr>
        <w:t>Arbitration Request</w:t>
      </w:r>
      <w:r w:rsidRPr="00A90626">
        <w:rPr>
          <w:rFonts w:asciiTheme="majorHAnsi" w:eastAsia="Times New Roman" w:hAnsiTheme="majorHAnsi" w:cstheme="majorHAnsi"/>
          <w:i/>
        </w:rPr>
        <w:br/>
        <w:t xml:space="preserve">This module brings to life the process for filing and participating in a hearing of an arbitration request. </w:t>
      </w:r>
      <w:r w:rsidRPr="00A90626">
        <w:rPr>
          <w:rFonts w:asciiTheme="majorHAnsi" w:eastAsia="Times New Roman" w:hAnsiTheme="majorHAnsi" w:cstheme="majorHAnsi"/>
          <w:i/>
          <w:sz w:val="16"/>
        </w:rPr>
        <w:br/>
      </w:r>
      <w:r w:rsidRPr="00A90626">
        <w:rPr>
          <w:rFonts w:asciiTheme="majorHAnsi" w:eastAsia="Times New Roman" w:hAnsiTheme="majorHAnsi" w:cstheme="majorHAnsi"/>
          <w:i/>
          <w:sz w:val="16"/>
        </w:rPr>
        <w:br/>
      </w:r>
      <w:r w:rsidRPr="00A90626">
        <w:rPr>
          <w:rFonts w:asciiTheme="majorHAnsi" w:eastAsia="Times New Roman" w:hAnsiTheme="majorHAnsi" w:cstheme="majorHAnsi"/>
          <w:i/>
          <w:u w:val="single"/>
        </w:rPr>
        <w:t>Pathways to Professionalism / Marketing the Code of Ethics</w:t>
      </w:r>
      <w:r w:rsidRPr="00A90626">
        <w:rPr>
          <w:rFonts w:asciiTheme="majorHAnsi" w:eastAsia="Times New Roman" w:hAnsiTheme="majorHAnsi" w:cstheme="majorHAnsi"/>
          <w:i/>
        </w:rPr>
        <w:br/>
      </w:r>
      <w:proofErr w:type="gramStart"/>
      <w:r w:rsidRPr="00A90626">
        <w:rPr>
          <w:rFonts w:asciiTheme="majorHAnsi" w:eastAsia="Times New Roman" w:hAnsiTheme="majorHAnsi" w:cstheme="majorHAnsi"/>
          <w:i/>
        </w:rPr>
        <w:t>This</w:t>
      </w:r>
      <w:proofErr w:type="gramEnd"/>
      <w:r w:rsidRPr="00A90626">
        <w:rPr>
          <w:rFonts w:asciiTheme="majorHAnsi" w:eastAsia="Times New Roman" w:hAnsiTheme="majorHAnsi" w:cstheme="majorHAnsi"/>
          <w:i/>
        </w:rPr>
        <w:t xml:space="preserve"> module explains "Pathways to Professionalism", a list of professional courtesies and discusses how it can enhance relations between REALTORS® and how it ensures professional services to clients and consumers. This module also discusses how to market and use the REALTOR® </w:t>
      </w:r>
      <w:bookmarkStart w:id="0" w:name="_GoBack"/>
      <w:bookmarkEnd w:id="0"/>
      <w:r w:rsidRPr="00A90626">
        <w:rPr>
          <w:rFonts w:asciiTheme="majorHAnsi" w:eastAsia="Times New Roman" w:hAnsiTheme="majorHAnsi" w:cstheme="majorHAnsi"/>
          <w:i/>
        </w:rPr>
        <w:t xml:space="preserve">Code of Ethics in your everyday business. </w:t>
      </w:r>
      <w:r w:rsidRPr="00A90626">
        <w:rPr>
          <w:rFonts w:asciiTheme="majorHAnsi" w:eastAsia="Times New Roman" w:hAnsiTheme="majorHAnsi" w:cstheme="majorHAnsi"/>
          <w:i/>
          <w:sz w:val="18"/>
        </w:rPr>
        <w:br/>
      </w:r>
      <w:r w:rsidRPr="00A90626">
        <w:rPr>
          <w:rFonts w:asciiTheme="majorHAnsi" w:eastAsia="Times New Roman" w:hAnsiTheme="majorHAnsi" w:cstheme="majorHAnsi"/>
          <w:i/>
          <w:sz w:val="18"/>
        </w:rPr>
        <w:br/>
      </w:r>
      <w:r w:rsidRPr="00A90626">
        <w:rPr>
          <w:rFonts w:asciiTheme="majorHAnsi" w:eastAsia="Times New Roman" w:hAnsiTheme="majorHAnsi" w:cstheme="majorHAnsi"/>
          <w:i/>
          <w:u w:val="single"/>
        </w:rPr>
        <w:t>The Mediation Experience</w:t>
      </w:r>
      <w:r w:rsidRPr="00A90626">
        <w:rPr>
          <w:rFonts w:asciiTheme="majorHAnsi" w:eastAsia="Times New Roman" w:hAnsiTheme="majorHAnsi" w:cstheme="majorHAnsi"/>
          <w:i/>
        </w:rPr>
        <w:br/>
        <w:t xml:space="preserve">This module brings to life NAR’s preferred dispute resolution system, mediation. </w:t>
      </w:r>
      <w:r w:rsidRPr="00A90626">
        <w:rPr>
          <w:rFonts w:asciiTheme="majorHAnsi" w:eastAsia="Times New Roman" w:hAnsiTheme="majorHAnsi" w:cstheme="majorHAnsi"/>
          <w:i/>
          <w:sz w:val="16"/>
        </w:rPr>
        <w:br/>
      </w:r>
      <w:r w:rsidRPr="00A90626">
        <w:rPr>
          <w:rFonts w:asciiTheme="majorHAnsi" w:eastAsia="Times New Roman" w:hAnsiTheme="majorHAnsi" w:cstheme="majorHAnsi"/>
          <w:i/>
          <w:sz w:val="16"/>
        </w:rPr>
        <w:br/>
      </w:r>
      <w:r w:rsidRPr="00F606D7">
        <w:rPr>
          <w:rFonts w:asciiTheme="majorHAnsi" w:eastAsia="Times New Roman" w:hAnsiTheme="majorHAnsi" w:cstheme="majorHAnsi"/>
          <w:i/>
          <w:u w:val="single"/>
        </w:rPr>
        <w:t xml:space="preserve">Changes to the Code of Ethics </w:t>
      </w:r>
      <w:r w:rsidRPr="00A90626">
        <w:rPr>
          <w:rFonts w:asciiTheme="majorHAnsi" w:eastAsia="Times New Roman" w:hAnsiTheme="majorHAnsi" w:cstheme="majorHAnsi"/>
          <w:i/>
          <w:u w:val="single"/>
        </w:rPr>
        <w:br/>
      </w:r>
      <w:r w:rsidRPr="00A90626">
        <w:rPr>
          <w:rFonts w:asciiTheme="majorHAnsi" w:eastAsia="Times New Roman" w:hAnsiTheme="majorHAnsi" w:cstheme="majorHAnsi"/>
          <w:i/>
        </w:rPr>
        <w:t>This module explains recent changes to the Code of Ethics and the Professional Standards enforcement process</w:t>
      </w:r>
      <w:r w:rsidRPr="00A90626">
        <w:rPr>
          <w:rFonts w:asciiTheme="majorHAnsi" w:eastAsia="Times New Roman" w:hAnsiTheme="majorHAnsi" w:cstheme="majorHAnsi"/>
        </w:rPr>
        <w:t>.</w:t>
      </w:r>
    </w:p>
    <w:p w:rsidR="00F606D7" w:rsidRPr="009727BE" w:rsidRDefault="00F606D7" w:rsidP="009727BE">
      <w:pPr>
        <w:spacing w:after="120" w:line="240" w:lineRule="auto"/>
        <w:contextualSpacing/>
        <w:rPr>
          <w:rFonts w:asciiTheme="majorHAnsi" w:hAnsiTheme="majorHAnsi" w:cstheme="majorHAnsi"/>
          <w:sz w:val="16"/>
        </w:rPr>
      </w:pPr>
    </w:p>
    <w:p w:rsidR="00F606D7" w:rsidRPr="009727BE" w:rsidRDefault="00F606D7" w:rsidP="00F606D7">
      <w:pPr>
        <w:spacing w:line="240" w:lineRule="auto"/>
        <w:contextualSpacing/>
        <w:rPr>
          <w:rFonts w:asciiTheme="majorHAnsi" w:hAnsiTheme="majorHAnsi" w:cstheme="majorHAnsi"/>
          <w:sz w:val="16"/>
        </w:rPr>
      </w:pPr>
    </w:p>
    <w:sectPr w:rsidR="00F606D7" w:rsidRPr="009727BE" w:rsidSect="00F606D7">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6D7" w:rsidRDefault="00F606D7" w:rsidP="00F606D7">
      <w:pPr>
        <w:spacing w:after="0" w:line="240" w:lineRule="auto"/>
      </w:pPr>
      <w:r>
        <w:separator/>
      </w:r>
    </w:p>
  </w:endnote>
  <w:endnote w:type="continuationSeparator" w:id="0">
    <w:p w:rsidR="00F606D7" w:rsidRDefault="00F606D7" w:rsidP="00F6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6D7" w:rsidRDefault="00F606D7" w:rsidP="00F606D7">
      <w:pPr>
        <w:spacing w:after="0" w:line="240" w:lineRule="auto"/>
      </w:pPr>
      <w:r>
        <w:separator/>
      </w:r>
    </w:p>
  </w:footnote>
  <w:footnote w:type="continuationSeparator" w:id="0">
    <w:p w:rsidR="00F606D7" w:rsidRDefault="00F606D7" w:rsidP="00F60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D7" w:rsidRPr="00F606D7" w:rsidRDefault="00F606D7" w:rsidP="00F606D7">
    <w:pPr>
      <w:pStyle w:val="Header"/>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D7" w:rsidRPr="009727BE" w:rsidRDefault="00F606D7" w:rsidP="00F606D7">
    <w:pPr>
      <w:pStyle w:val="Header"/>
      <w:jc w:val="center"/>
      <w:rPr>
        <w:rFonts w:cstheme="minorHAnsi"/>
        <w:b/>
        <w:color w:val="231B18"/>
        <w:sz w:val="28"/>
        <w:shd w:val="clear" w:color="auto" w:fill="FFFFFF"/>
      </w:rPr>
    </w:pPr>
    <w:r w:rsidRPr="009727BE">
      <w:rPr>
        <w:rFonts w:cstheme="minorHAnsi"/>
        <w:b/>
        <w:sz w:val="28"/>
      </w:rPr>
      <w:t>What is the c</w:t>
    </w:r>
    <w:r w:rsidRPr="009727BE">
      <w:rPr>
        <w:rFonts w:cstheme="minorHAnsi"/>
        <w:b/>
        <w:color w:val="231B18"/>
        <w:sz w:val="28"/>
        <w:shd w:val="clear" w:color="auto" w:fill="FFFFFF"/>
      </w:rPr>
      <w:t>ustomizable learning experience for the non-CE Code of Ethics training?</w:t>
    </w:r>
  </w:p>
  <w:p w:rsidR="00F606D7" w:rsidRDefault="00F606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A"/>
    <w:rsid w:val="0039260F"/>
    <w:rsid w:val="009727BE"/>
    <w:rsid w:val="00A4151A"/>
    <w:rsid w:val="00BC211B"/>
    <w:rsid w:val="00D055C8"/>
    <w:rsid w:val="00F6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04F7"/>
  <w15:chartTrackingRefBased/>
  <w15:docId w15:val="{753D9906-AB04-4A2E-9823-95DEC04E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6D7"/>
  </w:style>
  <w:style w:type="paragraph" w:styleId="Footer">
    <w:name w:val="footer"/>
    <w:basedOn w:val="Normal"/>
    <w:link w:val="FooterChar"/>
    <w:uiPriority w:val="99"/>
    <w:unhideWhenUsed/>
    <w:rsid w:val="00F60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NARy</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Goldberg</dc:creator>
  <cp:keywords/>
  <dc:description/>
  <cp:lastModifiedBy>Katherine Goldberg</cp:lastModifiedBy>
  <cp:revision>2</cp:revision>
  <dcterms:created xsi:type="dcterms:W3CDTF">2018-01-25T18:15:00Z</dcterms:created>
  <dcterms:modified xsi:type="dcterms:W3CDTF">2018-01-25T19:04:00Z</dcterms:modified>
</cp:coreProperties>
</file>